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Autospacing="1"/>
        <w:jc w:val="right"/>
        <w:rPr>
          <w:rFonts w:cs="Times New Roman"/>
          <w:color w:val="000000"/>
          <w:sz w:val="24"/>
          <w:szCs w:val="24"/>
        </w:rPr>
      </w:pPr>
      <w:r>
        <w:rPr>
          <w:rFonts w:cs="Times New Roman"/>
          <w:color w:val="000000"/>
          <w:sz w:val="24"/>
          <w:szCs w:val="24"/>
        </w:rPr>
        <w:t> </w:t>
      </w:r>
      <w:r>
        <w:rPr>
          <w:sz w:val="22"/>
          <w:szCs w:val="22"/>
        </w:rPr>
        <w:t>Приложение № 19</w:t>
      </w:r>
    </w:p>
    <w:p>
      <w:pPr>
        <w:pStyle w:val="NoSpacing"/>
        <w:jc w:val="right"/>
        <w:rPr>
          <w:sz w:val="22"/>
        </w:rPr>
      </w:pPr>
      <w:r>
        <w:rPr>
          <w:sz w:val="22"/>
        </w:rPr>
        <w:t xml:space="preserve">к Учетной политике Муниципального </w:t>
      </w:r>
    </w:p>
    <w:p>
      <w:pPr>
        <w:pStyle w:val="NoSpacing"/>
        <w:jc w:val="right"/>
        <w:rPr>
          <w:sz w:val="22"/>
        </w:rPr>
      </w:pPr>
      <w:r>
        <w:rPr>
          <w:sz w:val="22"/>
        </w:rPr>
        <w:t>бюджетного учреждения «Комплексный центр </w:t>
      </w:r>
    </w:p>
    <w:p>
      <w:pPr>
        <w:pStyle w:val="NoSpacing"/>
        <w:jc w:val="right"/>
        <w:rPr>
          <w:sz w:val="22"/>
        </w:rPr>
      </w:pPr>
      <w:r>
        <w:rPr>
          <w:sz w:val="22"/>
        </w:rPr>
        <w:t xml:space="preserve">социального обслуживания населения» </w:t>
      </w:r>
    </w:p>
    <w:p>
      <w:pPr>
        <w:pStyle w:val="NoSpacing"/>
        <w:jc w:val="right"/>
        <w:rPr>
          <w:sz w:val="22"/>
        </w:rPr>
      </w:pPr>
      <w:r>
        <w:rPr>
          <w:rFonts w:cs="Times New Roman"/>
          <w:color w:val="000000"/>
          <w:sz w:val="22"/>
          <w:szCs w:val="24"/>
        </w:rPr>
        <w:t>города Троицка</w:t>
      </w:r>
    </w:p>
    <w:p>
      <w:pPr>
        <w:pStyle w:val="NoSpacing"/>
        <w:jc w:val="right"/>
        <w:rPr>
          <w:sz w:val="22"/>
        </w:rPr>
      </w:pPr>
      <w:r>
        <w:rPr/>
      </w:r>
    </w:p>
    <w:p>
      <w:pPr>
        <w:pStyle w:val="NoSpacing"/>
        <w:jc w:val="right"/>
        <w:rPr>
          <w:sz w:val="22"/>
        </w:rPr>
      </w:pPr>
      <w:r>
        <w:rPr>
          <w:rFonts w:cs="Times New Roman"/>
          <w:color w:val="000000"/>
          <w:sz w:val="22"/>
          <w:szCs w:val="24"/>
        </w:rPr>
        <w:t xml:space="preserve"> </w:t>
      </w:r>
    </w:p>
    <w:tbl>
      <w:tblPr>
        <w:tblW w:w="9675" w:type="dxa"/>
        <w:jc w:val="left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828"/>
        <w:gridCol w:w="7846"/>
      </w:tblGrid>
      <w:tr>
        <w:trPr/>
        <w:tc>
          <w:tcPr>
            <w:tcW w:w="1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Autospacing="1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Журнал операций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240" w:beforeAutospacing="1" w:after="0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cs="Times New Roman"/>
                <w:b/>
                <w:bCs/>
                <w:color w:val="000000"/>
                <w:sz w:val="24"/>
                <w:szCs w:val="24"/>
              </w:rPr>
              <w:t>Документы</w:t>
            </w:r>
          </w:p>
        </w:tc>
      </w:tr>
      <w:tr>
        <w:trPr/>
        <w:tc>
          <w:tcPr>
            <w:tcW w:w="18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1 по счету «Касса»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Вторые листы кассовой книги (ф. 0504514) – отчет кассира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Квитанция (ф. 0504510)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Приходный кассовый ордер (ф. 0310001)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Расходный кассовый ордер (ф. 0310002)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Объявление на взнос наличными (ОКУД 0402001)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регистрации приходных и расходных кассовых ордеров (ф. 0504093)</w:t>
            </w:r>
          </w:p>
        </w:tc>
      </w:tr>
      <w:tr>
        <w:trPr/>
        <w:tc>
          <w:tcPr>
            <w:tcW w:w="18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2 с безналичными денежными средствами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28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Выписки из лицевого счета в органе Федерального казначейства, расчетного счета в банке с приложением: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spacing w:lineRule="auto" w:line="240" w:beforeAutospacing="1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платежных документов;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spacing w:lineRule="auto" w:line="240" w:before="0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мемориальных ордеров банка;</w:t>
            </w:r>
          </w:p>
          <w:p>
            <w:pPr>
              <w:pStyle w:val="Normal"/>
              <w:widowControl w:val="false"/>
              <w:numPr>
                <w:ilvl w:val="0"/>
                <w:numId w:val="1"/>
              </w:numPr>
              <w:spacing w:lineRule="auto" w:line="240" w:before="0" w:afterAutospacing="1"/>
              <w:ind w:left="780" w:right="180" w:hanging="36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других казначейских и банковских документов.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Бухгалтерские справки (ф. 0504833)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Заявка на кассовый расход (ф. 0531801)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Платежное поручение (ф. 0401060)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Извещения (ф. 0504805)</w:t>
            </w:r>
          </w:p>
        </w:tc>
      </w:tr>
      <w:tr>
        <w:trPr/>
        <w:tc>
          <w:tcPr>
            <w:tcW w:w="18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3 расчетов с подотчетными лицами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280"/>
              <w:jc w:val="both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Отчет о расходах подотчетного лица (ф. 0504520) с подтверждающими документами: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pacing w:lineRule="auto" w:line="240" w:beforeAutospacing="1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кассовые и товарные чеки;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pacing w:lineRule="auto" w:line="240" w:before="0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квитанции электронных банкоматов и терминалов (слипы);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pacing w:lineRule="auto" w:line="240" w:before="0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проездные билеты;</w:t>
            </w:r>
          </w:p>
          <w:p>
            <w:pPr>
              <w:pStyle w:val="Normal"/>
              <w:widowControl w:val="false"/>
              <w:numPr>
                <w:ilvl w:val="0"/>
                <w:numId w:val="2"/>
              </w:numPr>
              <w:spacing w:lineRule="auto" w:line="240" w:before="0" w:afterAutospacing="1"/>
              <w:ind w:left="780" w:right="180" w:hanging="36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счета и квитанции за проживание.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Решение о командировании на территории Российской Федерации (ф. 0504512)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Изменение Решения о командировании на территории Российской Федерации (ф. 0504513)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Решение о командировании на территорию иностранного государства (ф. 0504515)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Изменение Решения о командировании на территорию иностранного государства (ф. 0504516)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Заявка-обоснование закупки (ф. 0504518)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Приходный ордер на приемку нефинансовых активов (ф. 0504207)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Извещения (ф. 0504805)</w:t>
            </w:r>
          </w:p>
        </w:tc>
      </w:tr>
      <w:tr>
        <w:trPr/>
        <w:tc>
          <w:tcPr>
            <w:tcW w:w="18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4  расчетов с поставщиками и подрядчиками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28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Договоры, контракты и сопроводительные документы поставщиков: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40" w:beforeAutospacing="1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счета-фактуры;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40" w:before="0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акты выполненных работ (оказанных услуг);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40" w:before="0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акты приема-передачи имущества;</w:t>
            </w:r>
          </w:p>
          <w:p>
            <w:pPr>
              <w:pStyle w:val="Normal"/>
              <w:widowControl w:val="false"/>
              <w:numPr>
                <w:ilvl w:val="0"/>
                <w:numId w:val="3"/>
              </w:numPr>
              <w:spacing w:lineRule="auto" w:line="240" w:before="0" w:afterAutospacing="1"/>
              <w:ind w:left="780" w:right="180" w:hanging="36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 xml:space="preserve">товарные и товарно-транспортные накладные. </w:t>
            </w:r>
            <w:r>
              <w:rPr>
                <w:rFonts w:cs="Times New Roman"/>
                <w:color w:val="000000"/>
                <w:sz w:val="24"/>
                <w:szCs w:val="24"/>
                <w:lang w:val="ru-RU"/>
              </w:rPr>
              <w:t>УПД.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 о приеме-передаче объектов нефинансовых активов (ф. 0510448)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Приходный ордер на приемку нефинансовых активов (ф. 0504207)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Извещение (ф. 0504805)</w:t>
            </w:r>
          </w:p>
        </w:tc>
      </w:tr>
      <w:tr>
        <w:trPr/>
        <w:tc>
          <w:tcPr>
            <w:tcW w:w="18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5 расчетов с дебиторами по доходам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Акт оказанных услуг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Договоры, соглашения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Ведомость начисления доходов бюджета (ф. 0510837)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Извещение о начислении доходов (уточнении начисления) (ф. 0510432)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Ведомость выпадающих доходов (ф. 0510838)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Бухгалтерские справки (ф. 0504833)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Извещение (ф. 0504805)</w:t>
            </w:r>
          </w:p>
        </w:tc>
      </w:tr>
      <w:tr>
        <w:trPr/>
        <w:tc>
          <w:tcPr>
            <w:tcW w:w="1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6 расчетов по оплате труда, денежному довольствию и стипендиям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28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Свод расчетно-платежных ведомостей или расчетных ведомостей вместе с: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pacing w:lineRule="auto" w:line="240" w:beforeAutospacing="1" w:after="0"/>
              <w:ind w:left="780" w:right="180" w:hanging="360"/>
              <w:contextualSpacing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табелями учета использования рабочего времени (ф. 0504421);</w:t>
            </w:r>
          </w:p>
          <w:p>
            <w:pPr>
              <w:pStyle w:val="Normal"/>
              <w:widowControl w:val="false"/>
              <w:numPr>
                <w:ilvl w:val="0"/>
                <w:numId w:val="4"/>
              </w:numPr>
              <w:spacing w:lineRule="auto" w:line="240" w:before="0" w:afterAutospacing="1"/>
              <w:ind w:left="780" w:right="180" w:hanging="36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копиями приказов, выписками из приказов о зачислении, увольнении, перемещении, отпусках сотрудников.</w:t>
            </w:r>
          </w:p>
          <w:p>
            <w:pPr>
              <w:pStyle w:val="Normal"/>
              <w:widowControl w:val="false"/>
              <w:spacing w:lineRule="auto" w:line="240" w:before="280" w:after="28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Записка-расчет об исчислении среднего заработка при предоставлении отпуска, увольнении и других случаях (ф. 0504425)</w:t>
            </w:r>
          </w:p>
          <w:p>
            <w:pPr>
              <w:pStyle w:val="Normal"/>
              <w:widowControl w:val="false"/>
              <w:spacing w:lineRule="auto" w:line="240" w:before="280" w:after="28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Приказ о начислении пособий</w:t>
            </w:r>
          </w:p>
          <w:p>
            <w:pPr>
              <w:pStyle w:val="Normal"/>
              <w:widowControl w:val="false"/>
              <w:spacing w:lineRule="auto" w:line="240" w:before="280" w:after="28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Карточка-справка сотрудника (ф. 0504417)</w:t>
            </w:r>
          </w:p>
          <w:p>
            <w:pPr>
              <w:pStyle w:val="Normal"/>
              <w:widowControl w:val="false"/>
              <w:spacing w:lineRule="auto" w:line="240" w:before="28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Бухгалтерские справки (ф. 0504833)</w:t>
            </w:r>
          </w:p>
        </w:tc>
      </w:tr>
      <w:tr>
        <w:trPr/>
        <w:tc>
          <w:tcPr>
            <w:tcW w:w="18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7 по выбытию и перемещению нефинансовых активов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Акты о приеме-передаче нефинансовых активов (ф. 0504101)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Накладная на внутреннее перемещение объектов нефинансовых активов (ф. 0504102)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Акты о приеме-сдаче отремонтированных, реконструированных и модернизированных объектов основных средств (ф. 0504103)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Акты о списании объектов нефинансовых активов (кроме транспортных средств) (ф. 0504104)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 о списании транспортного средства (ф. 0504105)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 о списании материальных запасов (ф. 0504230)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Решение о прекращении признания активами объектов НФА (ф. 0510440)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Решение о признании объектов НФА (ф. 0510441)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Решение об оценке стоимости отчуждаемого имущества (ф. 0510442)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Ведомость выдачи на нужды учреждения (ф. 0504210)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 об утилизации (уничтожении) материальных ценностей (ф. 0510435)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 о приеме-передаче объектов НФА (ф. 0510448)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Акт приемки товаров, работ, услуг (ф. 0510452)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Накладная на внутреннее перемещение объектов НФА (ф. 0510450)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Меню-требования на выдачу продуктов питания (ф. 0504202)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Извещения (ф. 0504805)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Требования-накладные (ф. 0504204)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Накладная на отпуск материалов на сторону (ф. 0504205)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Путевой лист легкового автомобиля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Бухгалтерские справки (ф. 0504833)</w:t>
            </w:r>
          </w:p>
        </w:tc>
      </w:tr>
      <w:tr>
        <w:trPr/>
        <w:tc>
          <w:tcPr>
            <w:tcW w:w="182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по прочим операциям № 8 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Отчет кассира по фондовой кассе с приложенными к нему приходными (КО-1) и расходными (КО-2) ордерами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Извещение (ф. 0504805)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Бухгалтерская справка (ф. 0504833)</w:t>
            </w:r>
          </w:p>
        </w:tc>
      </w:tr>
      <w:tr>
        <w:trPr/>
        <w:tc>
          <w:tcPr>
            <w:tcW w:w="1828" w:type="dxa"/>
            <w:vMerge w:val="continue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Autospacing="1" w:after="0"/>
              <w:ind w:left="75" w:right="75" w:hanging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</w:r>
          </w:p>
        </w:tc>
        <w:tc>
          <w:tcPr>
            <w:tcW w:w="784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Приходный ордер на приемку нефинансовых активов (ф. 0504207)</w:t>
            </w:r>
          </w:p>
        </w:tc>
      </w:tr>
      <w:tr>
        <w:trPr/>
        <w:tc>
          <w:tcPr>
            <w:tcW w:w="1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lineRule="auto" w:line="240" w:before="0" w:after="0"/>
              <w:rPr>
                <w:rFonts w:cs="Times New Roman"/>
                <w:color w:val="000000"/>
                <w:sz w:val="24"/>
                <w:szCs w:val="24"/>
              </w:rPr>
            </w:pPr>
            <w:r>
              <w:rPr>
                <w:rFonts w:cs="Times New Roman"/>
                <w:color w:val="000000"/>
                <w:sz w:val="24"/>
                <w:szCs w:val="24"/>
              </w:rPr>
              <w:t>Журнал операций № 9 по исправлению ошибок прошлых лет (ф. 0504071)</w:t>
            </w:r>
          </w:p>
        </w:tc>
        <w:tc>
          <w:tcPr>
            <w:tcW w:w="78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>
            <w:pPr>
              <w:pStyle w:val="Normal"/>
              <w:widowControl w:val="false"/>
              <w:spacing w:before="0" w:after="0"/>
              <w:rPr/>
            </w:pPr>
            <w:r>
              <w:rPr>
                <w:rFonts w:cs="Times New Roman"/>
                <w:color w:val="000000"/>
                <w:sz w:val="24"/>
                <w:szCs w:val="24"/>
              </w:rPr>
              <w:t>Бухгалтерская справка (ф. 0504833)</w:t>
            </w:r>
          </w:p>
        </w:tc>
      </w:tr>
    </w:tbl>
    <w:sectPr>
      <w:type w:val="nextPage"/>
      <w:pgSz w:w="11906" w:h="16838"/>
      <w:pgMar w:left="1440" w:right="881" w:gutter="0" w:header="0" w:top="720" w:footer="0" w:bottom="144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f7e17"/>
    <w:pPr>
      <w:widowControl/>
      <w:suppressAutoHyphens w:val="true"/>
      <w:bidi w:val="0"/>
      <w:spacing w:lineRule="auto" w:line="240" w:beforeAutospacing="1" w:afterAutospacing="1"/>
      <w:jc w:val="left"/>
    </w:pPr>
    <w:rPr>
      <w:rFonts w:ascii="Times New Roman" w:hAnsi="Times New Roman" w:eastAsia="Times New Roman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paragraph" w:styleId="1">
    <w:name w:val="Heading 1"/>
    <w:basedOn w:val="Normal"/>
    <w:next w:val="Normal"/>
    <w:link w:val="Heading1Char"/>
    <w:uiPriority w:val="9"/>
    <w:qFormat/>
    <w:rsid w:val="00b73a5a"/>
    <w:pPr>
      <w:keepNext w:val="true"/>
      <w:keepLines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sid w:val="00b73a5a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Style8">
    <w:name w:val="Заголовок"/>
    <w:basedOn w:val="Normal"/>
    <w:next w:val="Style9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9">
    <w:name w:val="Body Text"/>
    <w:basedOn w:val="Normal"/>
    <w:pPr>
      <w:spacing w:lineRule="auto" w:line="276" w:before="0" w:after="140"/>
    </w:pPr>
    <w:rPr/>
  </w:style>
  <w:style w:type="paragraph" w:styleId="Style10">
    <w:name w:val="List"/>
    <w:basedOn w:val="Style9"/>
    <w:pPr/>
    <w:rPr>
      <w:rFonts w:cs="Lucida Sans"/>
    </w:rPr>
  </w:style>
  <w:style w:type="paragraph" w:styleId="Style11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2">
    <w:name w:val="Указатель"/>
    <w:basedOn w:val="Normal"/>
    <w:qFormat/>
    <w:pPr>
      <w:suppressLineNumbers/>
    </w:pPr>
    <w:rPr>
      <w:rFonts w:cs="Lucida Sans"/>
    </w:rPr>
  </w:style>
  <w:style w:type="paragraph" w:styleId="NoSpacing">
    <w:name w:val="No Spacing"/>
    <w:qFormat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LibreOffice/7.5.0.3$Windows_X86_64 LibreOffice_project/c21113d003cd3efa8c53188764377a8272d9d6de</Application>
  <AppVersion>15.0000</AppVersion>
  <Pages>3</Pages>
  <Words>584</Words>
  <Characters>3912</Characters>
  <CharactersWithSpaces>4401</CharactersWithSpaces>
  <Paragraphs>90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2011-11-02T04:15:00Z</dcterms:created>
  <dc:creator/>
  <dc:description>Подготовлено экспертами Актион-МЦФЭР</dc:description>
  <dc:language>ru-RU</dc:language>
  <cp:lastModifiedBy/>
  <cp:lastPrinted>2024-01-26T17:00:31Z</cp:lastPrinted>
  <dcterms:modified xsi:type="dcterms:W3CDTF">2024-01-26T17:00:35Z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